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3E6FEC">
        <w:rPr>
          <w:rFonts w:ascii="Times New Roman" w:hAnsi="Times New Roman" w:cs="Times New Roman"/>
          <w:b/>
          <w:bCs/>
          <w:sz w:val="24"/>
          <w:szCs w:val="24"/>
        </w:rPr>
        <w:t>4h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F39A4" w:rsidRPr="00460F9E" w:rsidRDefault="002F39A4" w:rsidP="000921C2">
      <w:pPr>
        <w:ind w:left="141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1617FA" w:rsidRDefault="002F39A4" w:rsidP="001617FA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1617FA" w:rsidRPr="001617FA" w:rsidRDefault="001617FA" w:rsidP="001617FA">
      <w:pPr>
        <w:pStyle w:val="Akapitzlist"/>
        <w:widowControl w:val="0"/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</w:p>
    <w:p w:rsidR="00971B33" w:rsidRPr="00EF7C1C" w:rsidRDefault="00971B33" w:rsidP="001617FA">
      <w:pPr>
        <w:spacing w:after="0" w:line="240" w:lineRule="auto"/>
        <w:rPr>
          <w:b/>
          <w:sz w:val="28"/>
          <w:szCs w:val="28"/>
        </w:rPr>
      </w:pPr>
      <w:r w:rsidRPr="00EF7C1C">
        <w:rPr>
          <w:b/>
          <w:sz w:val="28"/>
          <w:szCs w:val="28"/>
        </w:rPr>
        <w:t xml:space="preserve">Schritte international NEU 4 ( A 2.2 )                                                          </w:t>
      </w:r>
    </w:p>
    <w:p w:rsidR="00971B33" w:rsidRDefault="00971B33" w:rsidP="001617FA">
      <w:pPr>
        <w:spacing w:after="0"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Stanowią one propozycję systemu oceny uczniów w klasach pracujących z podręcznikiem Schritte international NEU 4.</w:t>
      </w: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548"/>
        <w:gridCol w:w="1603"/>
        <w:gridCol w:w="929"/>
        <w:gridCol w:w="1875"/>
        <w:gridCol w:w="2211"/>
        <w:gridCol w:w="2323"/>
        <w:gridCol w:w="2321"/>
        <w:gridCol w:w="2184"/>
      </w:tblGrid>
      <w:tr w:rsidR="001D7A4B" w:rsidTr="0024006A">
        <w:tc>
          <w:tcPr>
            <w:tcW w:w="3079" w:type="dxa"/>
            <w:gridSpan w:val="3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Am Wochenende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>ŻYCIE PRYWATNE ( czynności życia codziennego, określanie czasu formy spędzania wolnego czasu,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SPOŁECZNE ( wydarzenia i </w:t>
            </w:r>
            <w:r>
              <w:rPr>
                <w:rFonts w:eastAsia="Calibri"/>
                <w:sz w:val="18"/>
                <w:szCs w:val="18"/>
              </w:rPr>
              <w:lastRenderedPageBreak/>
              <w:t>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</w:t>
            </w:r>
            <w:r>
              <w:rPr>
                <w:color w:val="000000"/>
                <w:sz w:val="18"/>
                <w:szCs w:val="18"/>
              </w:rPr>
              <w:lastRenderedPageBreak/>
              <w:t>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RPr="00523E2B" w:rsidTr="0024006A">
        <w:trPr>
          <w:trHeight w:val="69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</w:tc>
      </w:tr>
      <w:tr w:rsidR="001D7A4B" w:rsidTr="0024006A">
        <w:trPr>
          <w:trHeight w:val="1965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  <w:lang w:val="de-DE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27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formułuje ogłoszenie na temat pchlego targu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formułuje wypowiedź na temat </w:t>
            </w:r>
            <w:r>
              <w:rPr>
                <w:sz w:val="18"/>
                <w:szCs w:val="18"/>
              </w:rPr>
              <w:lastRenderedPageBreak/>
              <w:t>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ogłoszenie na temat pchlego targu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1D7A4B" w:rsidTr="0024006A">
        <w:trPr>
          <w:trHeight w:val="373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</w:rPr>
              <w:lastRenderedPageBreak/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</w:t>
            </w:r>
            <w:r>
              <w:rPr>
                <w:rFonts w:eastAsia="Calibri"/>
                <w:sz w:val="18"/>
                <w:szCs w:val="18"/>
              </w:rPr>
              <w:lastRenderedPageBreak/>
              <w:t>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                        z kontekstu, rozumie tekst zawierający </w:t>
            </w:r>
            <w:r>
              <w:rPr>
                <w:sz w:val="18"/>
                <w:szCs w:val="18"/>
              </w:rPr>
              <w:lastRenderedPageBreak/>
              <w:t>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1D7A4B" w:rsidTr="0024006A">
        <w:trPr>
          <w:trHeight w:val="315"/>
        </w:trPr>
        <w:tc>
          <w:tcPr>
            <w:tcW w:w="3079" w:type="dxa"/>
            <w:gridSpan w:val="3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Meine Sachen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towary i </w:t>
            </w:r>
            <w:r>
              <w:rPr>
                <w:rFonts w:eastAsia="Calibri"/>
                <w:sz w:val="18"/>
                <w:szCs w:val="18"/>
              </w:rPr>
              <w:lastRenderedPageBreak/>
              <w:t>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stosować porównania </w:t>
            </w:r>
            <w:r w:rsidRPr="001D7A4B"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stopniować przymiotniki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lastRenderedPageBreak/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lastRenderedPageBreak/>
              <w:t>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rzeczach osobistych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e – </w:t>
            </w:r>
            <w:r>
              <w:rPr>
                <w:rFonts w:eastAsia="Calibri"/>
                <w:sz w:val="18"/>
                <w:szCs w:val="18"/>
              </w:rPr>
              <w:lastRenderedPageBreak/>
              <w:t>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pisze e – mail na temat ferii </w:t>
            </w:r>
            <w:r>
              <w:rPr>
                <w:rFonts w:eastAsia="Calibri"/>
                <w:sz w:val="18"/>
                <w:szCs w:val="18"/>
              </w:rPr>
              <w:lastRenderedPageBreak/>
              <w:t>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841"/>
        </w:trPr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rPr>
          <w:trHeight w:val="557"/>
        </w:trPr>
        <w:tc>
          <w:tcPr>
            <w:tcW w:w="3079" w:type="dxa"/>
            <w:gridSpan w:val="3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</w:rPr>
              <w:t xml:space="preserve"> Kommunikation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ŚRODKI 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rPr>
          <w:trHeight w:val="1776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 xml:space="preserve">Das wir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kontroluje poprawność </w:t>
            </w:r>
            <w:r>
              <w:rPr>
                <w:rFonts w:eastAsia="Calibri"/>
                <w:sz w:val="18"/>
                <w:szCs w:val="18"/>
              </w:rPr>
              <w:lastRenderedPageBreak/>
              <w:t>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 xml:space="preserve">opowiada </w:t>
            </w:r>
            <w:r>
              <w:rPr>
                <w:sz w:val="18"/>
                <w:szCs w:val="18"/>
              </w:rPr>
              <w:lastRenderedPageBreak/>
              <w:t>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</w:t>
            </w:r>
            <w:r>
              <w:rPr>
                <w:sz w:val="18"/>
                <w:szCs w:val="18"/>
              </w:rPr>
              <w:lastRenderedPageBreak/>
              <w:t>sposobach komunikowania się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1D7A4B" w:rsidTr="0024006A">
        <w:trPr>
          <w:trHeight w:val="55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 xml:space="preserve">wykorzystuje </w:t>
            </w:r>
            <w:r>
              <w:rPr>
                <w:rFonts w:cs="Arial"/>
                <w:sz w:val="18"/>
                <w:szCs w:val="18"/>
              </w:rPr>
              <w:lastRenderedPageBreak/>
              <w:t>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</w:t>
            </w:r>
            <w:r>
              <w:rPr>
                <w:sz w:val="18"/>
                <w:szCs w:val="18"/>
              </w:rPr>
              <w:lastRenderedPageBreak/>
              <w:t>zawierający nieznane słowa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1D7A4B" w:rsidTr="0024006A">
        <w:trPr>
          <w:trHeight w:val="711"/>
        </w:trPr>
        <w:tc>
          <w:tcPr>
            <w:tcW w:w="3079" w:type="dxa"/>
            <w:gridSpan w:val="3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Unterwegs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</w:rPr>
              <w:t>i potrafi go stosować w praktyce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1D7A4B" w:rsidTr="0024006A">
        <w:trPr>
          <w:trHeight w:val="552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  <w:p w:rsidR="001D7A4B" w:rsidRDefault="001D7A4B" w:rsidP="0024006A">
            <w:pPr>
              <w:spacing w:after="0" w:line="240" w:lineRule="auto"/>
              <w:ind w:left="113" w:right="113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</w:t>
            </w:r>
            <w:r>
              <w:rPr>
                <w:rFonts w:eastAsia="Calibri"/>
                <w:sz w:val="18"/>
                <w:szCs w:val="18"/>
              </w:rPr>
              <w:lastRenderedPageBreak/>
              <w:t>pytania dotyczące wysłuchanego tekstu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ruch drogowy w swoim kraju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podaje powód i nazywa </w:t>
            </w:r>
            <w:r>
              <w:rPr>
                <w:sz w:val="18"/>
                <w:szCs w:val="18"/>
              </w:rPr>
              <w:lastRenderedPageBreak/>
              <w:t>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127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lastRenderedPageBreak/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Reisen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21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32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</w:t>
            </w:r>
            <w:r>
              <w:rPr>
                <w:sz w:val="18"/>
                <w:szCs w:val="18"/>
              </w:rPr>
              <w:lastRenderedPageBreak/>
              <w:t>fragmentów zdań,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fragmentów </w:t>
            </w:r>
            <w:r>
              <w:rPr>
                <w:sz w:val="18"/>
                <w:szCs w:val="18"/>
              </w:rPr>
              <w:lastRenderedPageBreak/>
              <w:t>zdań,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fragmentów zdań, </w:t>
            </w:r>
            <w:r>
              <w:rPr>
                <w:sz w:val="18"/>
                <w:szCs w:val="18"/>
              </w:rPr>
              <w:lastRenderedPageBreak/>
              <w:t>uzupełnianie luk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</w:t>
            </w:r>
            <w:r>
              <w:rPr>
                <w:rFonts w:cs="Arial"/>
                <w:sz w:val="18"/>
                <w:szCs w:val="18"/>
              </w:rPr>
              <w:lastRenderedPageBreak/>
              <w:t>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planuje podróż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częsciowo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pisze e-mail do </w:t>
            </w:r>
            <w:r>
              <w:rPr>
                <w:rFonts w:eastAsia="Calibri"/>
                <w:sz w:val="18"/>
                <w:szCs w:val="18"/>
              </w:rPr>
              <w:lastRenderedPageBreak/>
              <w:t>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ogłoszenie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formułuje propozycje dotyczące form spędzania wolnego </w:t>
            </w:r>
            <w:r>
              <w:rPr>
                <w:rFonts w:eastAsia="Calibri"/>
                <w:sz w:val="18"/>
                <w:szCs w:val="18"/>
              </w:rPr>
              <w:lastRenderedPageBreak/>
              <w:t>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zawierający nieznane </w:t>
            </w:r>
            <w:r>
              <w:rPr>
                <w:sz w:val="18"/>
                <w:szCs w:val="18"/>
              </w:rPr>
              <w:lastRenderedPageBreak/>
              <w:t>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</w:t>
            </w:r>
            <w:r>
              <w:rPr>
                <w:sz w:val="18"/>
                <w:szCs w:val="18"/>
              </w:rPr>
              <w:lastRenderedPageBreak/>
              <w:t>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3079" w:type="dxa"/>
            <w:gridSpan w:val="3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4" w:type="dxa"/>
            <w:gridSpan w:val="5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13: Geld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  <w:vAlign w:val="bottom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>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 xml:space="preserve">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</w:t>
            </w:r>
            <w:r>
              <w:rPr>
                <w:sz w:val="18"/>
                <w:szCs w:val="18"/>
              </w:rPr>
              <w:lastRenderedPageBreak/>
              <w:t>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 xml:space="preserve">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tylko 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</w:rPr>
              <w:t>popełniając liczne błędy: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uprzejme </w:t>
            </w:r>
            <w:r>
              <w:rPr>
                <w:sz w:val="18"/>
                <w:szCs w:val="18"/>
              </w:rPr>
              <w:lastRenderedPageBreak/>
              <w:t>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opowiada o tym, co zdarza mu się odkładać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pytania i udziela odpowiedzi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czynnościach,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zycia bez pieniędzy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opowiada o tym,                co zdarza </w:t>
            </w:r>
            <w:r>
              <w:rPr>
                <w:sz w:val="18"/>
                <w:szCs w:val="18"/>
              </w:rPr>
              <w:lastRenderedPageBreak/>
              <w:t>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króótko </w:t>
            </w:r>
            <w:r>
              <w:rPr>
                <w:sz w:val="18"/>
                <w:szCs w:val="18"/>
              </w:rPr>
              <w:t>wypowiada się na temat zycia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tym,               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zycia bez pieniędzy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krótką wypowiedź na </w:t>
            </w:r>
            <w:r>
              <w:rPr>
                <w:sz w:val="18"/>
                <w:szCs w:val="18"/>
              </w:rPr>
              <w:lastRenderedPageBreak/>
              <w:t>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pisze odpowiedź na e-maila dotyczącego planów na wakacje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krótką wypowiedź na </w:t>
            </w:r>
            <w:r>
              <w:rPr>
                <w:sz w:val="18"/>
                <w:szCs w:val="18"/>
              </w:rPr>
              <w:lastRenderedPageBreak/>
              <w:t>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Lebensstationen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</w:t>
            </w:r>
            <w:r>
              <w:rPr>
                <w:sz w:val="18"/>
                <w:szCs w:val="18"/>
              </w:rPr>
              <w:lastRenderedPageBreak/>
              <w:t xml:space="preserve">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 xml:space="preserve">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 xml:space="preserve">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</w:t>
            </w:r>
            <w:r>
              <w:rPr>
                <w:sz w:val="18"/>
                <w:szCs w:val="18"/>
              </w:rPr>
              <w:lastRenderedPageBreak/>
              <w:t xml:space="preserve">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</w:t>
            </w:r>
            <w:r>
              <w:rPr>
                <w:sz w:val="18"/>
                <w:szCs w:val="18"/>
              </w:rPr>
              <w:lastRenderedPageBreak/>
              <w:t xml:space="preserve">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życzeniach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marzeniach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</w:t>
            </w:r>
            <w:r>
              <w:rPr>
                <w:b/>
                <w:sz w:val="18"/>
                <w:szCs w:val="18"/>
              </w:rPr>
              <w:lastRenderedPageBreak/>
              <w:t xml:space="preserve">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</w:t>
            </w:r>
            <w:r>
              <w:rPr>
                <w:b/>
                <w:sz w:val="18"/>
                <w:szCs w:val="18"/>
              </w:rPr>
              <w:lastRenderedPageBreak/>
              <w:t xml:space="preserve">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1D7A4B" w:rsidRDefault="001D7A4B" w:rsidP="0024006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</w:t>
            </w:r>
            <w:r>
              <w:rPr>
                <w:b/>
                <w:sz w:val="18"/>
                <w:szCs w:val="18"/>
              </w:rPr>
              <w:lastRenderedPageBreak/>
              <w:t>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parach i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P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 xml:space="preserve">popełniając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69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 xml:space="preserve">i stosować przyimek von: </w:t>
            </w:r>
            <w:r>
              <w:rPr>
                <w:i/>
                <w:sz w:val="18"/>
                <w:szCs w:val="18"/>
              </w:rPr>
              <w:t>die Mutter von Anna</w:t>
            </w:r>
          </w:p>
        </w:tc>
      </w:tr>
      <w:tr w:rsidR="00FC5FD2" w:rsidTr="00971B33">
        <w:trPr>
          <w:trHeight w:val="1965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z trudnością,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27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</w:t>
            </w:r>
            <w:r>
              <w:rPr>
                <w:sz w:val="18"/>
                <w:szCs w:val="18"/>
              </w:rPr>
              <w:lastRenderedPageBreak/>
              <w:t xml:space="preserve">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lastRenderedPageBreak/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r>
              <w:rPr>
                <w:b/>
                <w:sz w:val="18"/>
                <w:szCs w:val="18"/>
              </w:rPr>
              <w:lastRenderedPageBreak/>
              <w:t>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</w:t>
            </w:r>
            <w:r>
              <w:rPr>
                <w:sz w:val="18"/>
                <w:szCs w:val="18"/>
              </w:rPr>
              <w:lastRenderedPageBreak/>
              <w:t>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lastRenderedPageBreak/>
              <w:t xml:space="preserve">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738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</w:rPr>
              <w:lastRenderedPageBreak/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</w:t>
            </w:r>
            <w:r>
              <w:rPr>
                <w:rFonts w:eastAsia="Calibri"/>
                <w:sz w:val="18"/>
                <w:szCs w:val="18"/>
              </w:rPr>
              <w:lastRenderedPageBreak/>
              <w:t>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korzysta ze źródeł informacji w </w:t>
            </w:r>
            <w:r>
              <w:rPr>
                <w:sz w:val="18"/>
                <w:szCs w:val="18"/>
              </w:rPr>
              <w:lastRenderedPageBreak/>
              <w:t>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315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</w:t>
            </w:r>
            <w:r>
              <w:rPr>
                <w:sz w:val="18"/>
                <w:szCs w:val="18"/>
              </w:rPr>
              <w:lastRenderedPageBreak/>
              <w:t>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spędzania wolnego czasu </w:t>
            </w:r>
            <w:r>
              <w:rPr>
                <w:sz w:val="18"/>
                <w:szCs w:val="18"/>
              </w:rPr>
              <w:lastRenderedPageBreak/>
              <w:t>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na ogółpoprawnie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>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>liczne błędy</w:t>
            </w:r>
            <w:r>
              <w:rPr>
                <w:sz w:val="18"/>
                <w:szCs w:val="18"/>
              </w:rPr>
              <w:t>stosować w praktyce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</w:t>
            </w:r>
            <w:r>
              <w:rPr>
                <w:bCs/>
                <w:sz w:val="18"/>
                <w:szCs w:val="18"/>
              </w:rPr>
              <w:lastRenderedPageBreak/>
              <w:t>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</w:t>
            </w:r>
            <w:r>
              <w:rPr>
                <w:rFonts w:eastAsia="Calibri"/>
                <w:sz w:val="18"/>
                <w:szCs w:val="18"/>
              </w:rPr>
              <w:lastRenderedPageBreak/>
              <w:t>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poszczególnych części </w:t>
            </w:r>
            <w:r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 </w:t>
            </w:r>
            <w:r>
              <w:rPr>
                <w:rFonts w:eastAsia="Calibri"/>
                <w:sz w:val="18"/>
                <w:szCs w:val="18"/>
              </w:rPr>
              <w:lastRenderedPageBreak/>
              <w:t>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formułuje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971B33">
        <w:trPr>
          <w:trHeight w:val="841"/>
        </w:trPr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557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1776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971B33">
        <w:trPr>
          <w:trHeight w:val="1580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kontekst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intencje autora </w:t>
            </w:r>
            <w:r>
              <w:rPr>
                <w:bCs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lastRenderedPageBreak/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prezentuje </w:t>
            </w:r>
            <w:r>
              <w:rPr>
                <w:sz w:val="18"/>
                <w:szCs w:val="18"/>
              </w:rPr>
              <w:lastRenderedPageBreak/>
              <w:t>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34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971B33">
        <w:trPr>
          <w:trHeight w:val="711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</w:t>
            </w:r>
            <w:r>
              <w:rPr>
                <w:rFonts w:eastAsia="Calibri"/>
                <w:sz w:val="18"/>
                <w:szCs w:val="18"/>
              </w:rPr>
              <w:lastRenderedPageBreak/>
              <w:t>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r>
              <w:rPr>
                <w:b/>
                <w:sz w:val="18"/>
                <w:szCs w:val="18"/>
                <w:lang w:val="de-DE"/>
              </w:rPr>
              <w:t xml:space="preserve">popełniając błędy </w:t>
            </w:r>
            <w:r>
              <w:rPr>
                <w:sz w:val="18"/>
                <w:szCs w:val="18"/>
                <w:lang w:val="de-DE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971B33">
        <w:trPr>
          <w:trHeight w:val="552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udziela </w:t>
            </w:r>
            <w:r>
              <w:rPr>
                <w:sz w:val="18"/>
                <w:szCs w:val="18"/>
              </w:rPr>
              <w:lastRenderedPageBreak/>
              <w:t>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lastRenderedPageBreak/>
              <w:t>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</w:t>
            </w:r>
            <w:r>
              <w:rPr>
                <w:sz w:val="18"/>
                <w:szCs w:val="18"/>
              </w:rPr>
              <w:lastRenderedPageBreak/>
              <w:t>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napisać krótką wypowiedź na temat </w:t>
            </w:r>
            <w:r>
              <w:rPr>
                <w:sz w:val="18"/>
                <w:szCs w:val="18"/>
              </w:rPr>
              <w:lastRenderedPageBreak/>
              <w:t>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</w:t>
            </w:r>
            <w:r>
              <w:rPr>
                <w:sz w:val="18"/>
                <w:szCs w:val="18"/>
              </w:rPr>
              <w:lastRenderedPageBreak/>
              <w:t>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127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przyimkami: </w:t>
            </w:r>
            <w:r>
              <w:rPr>
                <w:rFonts w:eastAsia="Calibri"/>
                <w:i/>
                <w:sz w:val="18"/>
                <w:szCs w:val="18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523E2B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licznymi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>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</w:t>
            </w:r>
            <w:r>
              <w:rPr>
                <w:b/>
                <w:sz w:val="18"/>
                <w:szCs w:val="18"/>
              </w:rPr>
              <w:lastRenderedPageBreak/>
              <w:t xml:space="preserve">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wykorzystuje techniki samodzielnej pracy </w:t>
            </w:r>
            <w:r>
              <w:rPr>
                <w:rFonts w:eastAsia="Calibri"/>
                <w:sz w:val="18"/>
                <w:szCs w:val="18"/>
              </w:rPr>
              <w:lastRenderedPageBreak/>
              <w:t>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posiadaświadomość </w:t>
            </w:r>
            <w:r>
              <w:rPr>
                <w:rFonts w:eastAsia="Calibri"/>
                <w:sz w:val="18"/>
                <w:szCs w:val="18"/>
              </w:rPr>
              <w:lastRenderedPageBreak/>
              <w:t>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wykorzystuje techniki </w:t>
            </w:r>
            <w:r>
              <w:rPr>
                <w:rFonts w:eastAsia="Calibri"/>
                <w:sz w:val="18"/>
                <w:szCs w:val="18"/>
              </w:rPr>
              <w:lastRenderedPageBreak/>
              <w:t>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SPOŁECZNE ( zjawiska </w:t>
            </w:r>
            <w:r>
              <w:rPr>
                <w:rFonts w:eastAsia="Calibri"/>
                <w:sz w:val="18"/>
                <w:szCs w:val="18"/>
              </w:rPr>
              <w:lastRenderedPageBreak/>
              <w:t>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lastRenderedPageBreak/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współpracuje w parach </w:t>
            </w:r>
            <w:r>
              <w:rPr>
                <w:rFonts w:eastAsia="Calibri"/>
                <w:sz w:val="18"/>
                <w:szCs w:val="18"/>
              </w:rPr>
              <w:lastRenderedPageBreak/>
              <w:t>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</w:rPr>
              <w:lastRenderedPageBreak/>
              <w:t>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B2D64" w:rsidRPr="003B2D64" w:rsidRDefault="002F39A4" w:rsidP="003B2D6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523E2B" w:rsidRPr="00DE6CAF" w:rsidRDefault="00523E2B" w:rsidP="00523E2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523E2B" w:rsidRPr="00DE6CAF" w:rsidRDefault="00523E2B" w:rsidP="00523E2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523E2B" w:rsidRPr="00DE6CAF" w:rsidRDefault="00523E2B" w:rsidP="00523E2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523E2B" w:rsidRDefault="00523E2B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1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D7307F" w:rsidRDefault="00D7307F"/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8242E52"/>
    <w:multiLevelType w:val="multilevel"/>
    <w:tmpl w:val="7AFA41E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4526BD5"/>
    <w:multiLevelType w:val="multilevel"/>
    <w:tmpl w:val="525AC7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45131FD5"/>
    <w:multiLevelType w:val="multilevel"/>
    <w:tmpl w:val="ED36B3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67F4C82"/>
    <w:multiLevelType w:val="multilevel"/>
    <w:tmpl w:val="98E4D9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958798C"/>
    <w:multiLevelType w:val="multilevel"/>
    <w:tmpl w:val="6256D6A8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22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047763F"/>
    <w:multiLevelType w:val="multilevel"/>
    <w:tmpl w:val="A8EE33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AB3AF5"/>
    <w:multiLevelType w:val="multilevel"/>
    <w:tmpl w:val="FFC60E7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0D3854"/>
    <w:multiLevelType w:val="multilevel"/>
    <w:tmpl w:val="52C274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>
    <w:nsid w:val="7DFF716D"/>
    <w:multiLevelType w:val="multilevel"/>
    <w:tmpl w:val="6DD28D8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6"/>
  </w:num>
  <w:num w:numId="5">
    <w:abstractNumId w:val="16"/>
  </w:num>
  <w:num w:numId="6">
    <w:abstractNumId w:val="29"/>
  </w:num>
  <w:num w:numId="7">
    <w:abstractNumId w:val="1"/>
  </w:num>
  <w:num w:numId="8">
    <w:abstractNumId w:val="30"/>
  </w:num>
  <w:num w:numId="9">
    <w:abstractNumId w:val="7"/>
  </w:num>
  <w:num w:numId="10">
    <w:abstractNumId w:val="20"/>
  </w:num>
  <w:num w:numId="11">
    <w:abstractNumId w:val="3"/>
  </w:num>
  <w:num w:numId="12">
    <w:abstractNumId w:val="14"/>
  </w:num>
  <w:num w:numId="13">
    <w:abstractNumId w:val="25"/>
  </w:num>
  <w:num w:numId="14">
    <w:abstractNumId w:val="31"/>
  </w:num>
  <w:num w:numId="15">
    <w:abstractNumId w:val="28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23"/>
  </w:num>
  <w:num w:numId="21">
    <w:abstractNumId w:val="13"/>
  </w:num>
  <w:num w:numId="22">
    <w:abstractNumId w:val="15"/>
  </w:num>
  <w:num w:numId="23">
    <w:abstractNumId w:val="22"/>
  </w:num>
  <w:num w:numId="24">
    <w:abstractNumId w:val="27"/>
  </w:num>
  <w:num w:numId="25">
    <w:abstractNumId w:val="9"/>
  </w:num>
  <w:num w:numId="26">
    <w:abstractNumId w:val="24"/>
  </w:num>
  <w:num w:numId="27">
    <w:abstractNumId w:val="26"/>
  </w:num>
  <w:num w:numId="28">
    <w:abstractNumId w:val="12"/>
  </w:num>
  <w:num w:numId="29">
    <w:abstractNumId w:val="33"/>
  </w:num>
  <w:num w:numId="30">
    <w:abstractNumId w:val="17"/>
  </w:num>
  <w:num w:numId="31">
    <w:abstractNumId w:val="10"/>
  </w:num>
  <w:num w:numId="32">
    <w:abstractNumId w:val="18"/>
  </w:num>
  <w:num w:numId="33">
    <w:abstractNumId w:val="32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2F39A4"/>
    <w:rsid w:val="000921C2"/>
    <w:rsid w:val="00136588"/>
    <w:rsid w:val="001617FA"/>
    <w:rsid w:val="001C7DB2"/>
    <w:rsid w:val="001D51BD"/>
    <w:rsid w:val="001D7A4B"/>
    <w:rsid w:val="00280602"/>
    <w:rsid w:val="002F39A4"/>
    <w:rsid w:val="003B2D64"/>
    <w:rsid w:val="003E6FEC"/>
    <w:rsid w:val="00497DC1"/>
    <w:rsid w:val="00523E2B"/>
    <w:rsid w:val="00533897"/>
    <w:rsid w:val="005A40AA"/>
    <w:rsid w:val="006522C0"/>
    <w:rsid w:val="00971B33"/>
    <w:rsid w:val="009D061B"/>
    <w:rsid w:val="00A2315F"/>
    <w:rsid w:val="00A761DA"/>
    <w:rsid w:val="00C82A64"/>
    <w:rsid w:val="00CC4840"/>
    <w:rsid w:val="00D7307F"/>
    <w:rsid w:val="00EB7F3F"/>
    <w:rsid w:val="00EF7C1C"/>
    <w:rsid w:val="00FB405B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68</Pages>
  <Words>28479</Words>
  <Characters>170878</Characters>
  <Application>Microsoft Office Word</Application>
  <DocSecurity>0</DocSecurity>
  <Lines>1423</Lines>
  <Paragraphs>397</Paragraphs>
  <ScaleCrop>false</ScaleCrop>
  <Company/>
  <LinksUpToDate>false</LinksUpToDate>
  <CharactersWithSpaces>198960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16</cp:revision>
  <dcterms:created xsi:type="dcterms:W3CDTF">2025-08-31T13:27:00Z</dcterms:created>
  <dcterms:modified xsi:type="dcterms:W3CDTF">2025-09-09T10:23:00Z</dcterms:modified>
</cp:coreProperties>
</file>